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2" w:type="dxa"/>
        <w:tblInd w:w="-946" w:type="dxa"/>
        <w:tblLayout w:type="fixed"/>
        <w:tblLook w:val="04A0"/>
      </w:tblPr>
      <w:tblGrid>
        <w:gridCol w:w="3543"/>
        <w:gridCol w:w="1717"/>
        <w:gridCol w:w="1860"/>
        <w:gridCol w:w="3402"/>
      </w:tblGrid>
      <w:tr w:rsidR="00693DDF" w:rsidTr="00EE5947">
        <w:trPr>
          <w:trHeight w:val="789"/>
        </w:trPr>
        <w:tc>
          <w:tcPr>
            <w:tcW w:w="10521" w:type="dxa"/>
            <w:gridSpan w:val="4"/>
            <w:hideMark/>
          </w:tcPr>
          <w:p w:rsidR="00693DDF" w:rsidRDefault="00693DDF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noProof/>
                <w:sz w:val="20"/>
                <w:lang w:eastAsia="ru-RU"/>
              </w:rPr>
              <w:drawing>
                <wp:inline distT="0" distB="0" distL="0" distR="0">
                  <wp:extent cx="516255" cy="567690"/>
                  <wp:effectExtent l="1905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DDF" w:rsidTr="00EE5947">
        <w:trPr>
          <w:trHeight w:val="2147"/>
        </w:trPr>
        <w:tc>
          <w:tcPr>
            <w:tcW w:w="10521" w:type="dxa"/>
            <w:gridSpan w:val="4"/>
          </w:tcPr>
          <w:p w:rsidR="00693DDF" w:rsidRDefault="00693DD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693DDF" w:rsidRDefault="00693DDF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ПЕРВИЧНАЯ ПРОФСОЮЗНАЯ ОРГАНИЗАЦИЯ МБОУ СОШ №4  г. САЛЬСКА им. Героя Российской Федерации А.Н.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Гойняк</w:t>
            </w:r>
            <w:proofErr w:type="spellEnd"/>
          </w:p>
          <w:p w:rsidR="00693DDF" w:rsidRDefault="00693DDF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ПРОФЕССИОНАЛЬНОГО СОЮЗА РАБОТНИКОВ НАРОДНОГО</w:t>
            </w:r>
          </w:p>
          <w:p w:rsidR="00693DDF" w:rsidRDefault="00693DDF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ОБРАЗОВАНИЯ И НАУКИ РОССИЙСКОЙ ФЕДЕРАЦИИ</w:t>
            </w:r>
          </w:p>
          <w:p w:rsidR="00693DDF" w:rsidRDefault="00693DD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(ППО МБОУ СОШ №4  САЛЬСКОЙ РАЙОННОЙ  ОРГАНИЗАЦИИ  ОБЩЕРОССИЙСКОГО ПРОФСОЮЗА ОБРАЗОВАНИЯ)</w:t>
            </w:r>
          </w:p>
          <w:p w:rsidR="00693DDF" w:rsidRDefault="00693DD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693DDF" w:rsidRDefault="00693DDF">
            <w:pPr>
              <w:keepNext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693DDF" w:rsidTr="00EE5947">
        <w:trPr>
          <w:trHeight w:hRule="exact" w:val="93"/>
        </w:trPr>
        <w:tc>
          <w:tcPr>
            <w:tcW w:w="3543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693DDF" w:rsidRDefault="00693DDF" w:rsidP="00693DD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93DDF" w:rsidRDefault="00693DD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693DDF" w:rsidRDefault="00693DD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br/>
            </w:r>
          </w:p>
        </w:tc>
        <w:tc>
          <w:tcPr>
            <w:tcW w:w="3401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693DDF" w:rsidRDefault="00693DDF" w:rsidP="00693DDF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693DDF" w:rsidTr="00EE5947">
        <w:trPr>
          <w:trHeight w:val="556"/>
        </w:trPr>
        <w:tc>
          <w:tcPr>
            <w:tcW w:w="5260" w:type="dxa"/>
            <w:gridSpan w:val="2"/>
          </w:tcPr>
          <w:p w:rsidR="00693DDF" w:rsidRDefault="00693DD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62" w:type="dxa"/>
            <w:gridSpan w:val="2"/>
          </w:tcPr>
          <w:p w:rsidR="00693DDF" w:rsidRDefault="00693DDF">
            <w:pPr>
              <w:ind w:right="623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93DDF" w:rsidRDefault="00693DDF" w:rsidP="00693DDF">
      <w:pPr>
        <w:rPr>
          <w:rFonts w:ascii="Times New Roman" w:hAnsi="Times New Roman" w:cs="Times New Roman"/>
          <w:b/>
          <w:sz w:val="28"/>
          <w:szCs w:val="28"/>
        </w:rPr>
      </w:pPr>
    </w:p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ППО </w:t>
      </w:r>
      <w:r w:rsidR="004D24DC">
        <w:rPr>
          <w:rFonts w:ascii="Times New Roman" w:hAnsi="Times New Roman" w:cs="Times New Roman"/>
          <w:b/>
          <w:sz w:val="28"/>
          <w:szCs w:val="28"/>
        </w:rPr>
        <w:t xml:space="preserve">МБОУ СОШ №4 г. Сальска </w:t>
      </w:r>
      <w:r w:rsidR="00DC2C61">
        <w:rPr>
          <w:rFonts w:ascii="Times New Roman" w:hAnsi="Times New Roman" w:cs="Times New Roman"/>
          <w:b/>
          <w:sz w:val="28"/>
          <w:szCs w:val="28"/>
        </w:rPr>
        <w:t xml:space="preserve">имени Героя Российской Федерации А.Н. </w:t>
      </w:r>
      <w:proofErr w:type="spellStart"/>
      <w:r w:rsidR="00DC2C61">
        <w:rPr>
          <w:rFonts w:ascii="Times New Roman" w:hAnsi="Times New Roman" w:cs="Times New Roman"/>
          <w:b/>
          <w:sz w:val="28"/>
          <w:szCs w:val="28"/>
        </w:rPr>
        <w:t>Гойняк</w:t>
      </w:r>
      <w:proofErr w:type="spellEnd"/>
      <w:r w:rsidR="00DC2C61">
        <w:rPr>
          <w:rFonts w:ascii="Times New Roman" w:hAnsi="Times New Roman" w:cs="Times New Roman"/>
          <w:b/>
          <w:sz w:val="28"/>
          <w:szCs w:val="28"/>
        </w:rPr>
        <w:t xml:space="preserve"> за 2024-2025</w:t>
      </w:r>
      <w:r w:rsidRPr="001051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2069" w:rsidRPr="00E12069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являются: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 w:cs="Times New Roman"/>
          <w:sz w:val="28"/>
          <w:szCs w:val="28"/>
        </w:rPr>
        <w:t>енного уровня членов Профсоюза;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Приоритетными направлениями работы организации в 20</w:t>
      </w:r>
      <w:r w:rsidR="00DC2C61">
        <w:rPr>
          <w:rFonts w:ascii="Times New Roman" w:hAnsi="Times New Roman" w:cs="Times New Roman"/>
          <w:sz w:val="28"/>
          <w:szCs w:val="28"/>
        </w:rPr>
        <w:t>25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E5947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>I. Мероприятия по защите социально-экономических интересов и прав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В 20</w:t>
      </w:r>
      <w:r w:rsidR="00DC2C61">
        <w:rPr>
          <w:rFonts w:ascii="Times New Roman" w:hAnsi="Times New Roman" w:cs="Times New Roman"/>
          <w:sz w:val="28"/>
          <w:szCs w:val="28"/>
        </w:rPr>
        <w:t>24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г, коллективный договор </w:t>
      </w:r>
      <w:r w:rsidR="004D24DC">
        <w:rPr>
          <w:rFonts w:ascii="Times New Roman" w:hAnsi="Times New Roman" w:cs="Times New Roman"/>
          <w:sz w:val="28"/>
          <w:szCs w:val="28"/>
        </w:rPr>
        <w:t>МБОУ СОШ №4 г. Сальска</w:t>
      </w:r>
      <w:r w:rsidR="00DC2C61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>прошёл уведомительную регистрацию в отделе по труду и был размещён на  профсоюзной стра</w:t>
      </w:r>
      <w:r w:rsidR="00B5278F">
        <w:rPr>
          <w:rFonts w:ascii="Times New Roman" w:hAnsi="Times New Roman" w:cs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 w:cs="Times New Roman"/>
          <w:sz w:val="28"/>
          <w:szCs w:val="28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</w:t>
      </w:r>
      <w:r>
        <w:rPr>
          <w:rFonts w:ascii="Times New Roman" w:hAnsi="Times New Roman" w:cs="Times New Roman"/>
          <w:sz w:val="28"/>
          <w:szCs w:val="28"/>
        </w:rPr>
        <w:t>го характера сотрудникам  школ.</w:t>
      </w:r>
    </w:p>
    <w:p w:rsidR="00EE5947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0E84">
        <w:rPr>
          <w:rFonts w:ascii="Times New Roman" w:hAnsi="Times New Roman" w:cs="Times New Roman"/>
          <w:sz w:val="28"/>
          <w:szCs w:val="28"/>
        </w:rPr>
        <w:t>член комиссии по приемке спортивных сооружений и оборудования, учебных кабинетов на готовность к новому учебному году, член комиссии по социальному страхованию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2069">
        <w:rPr>
          <w:rFonts w:ascii="Times New Roman" w:hAnsi="Times New Roman" w:cs="Times New Roman"/>
          <w:sz w:val="28"/>
          <w:szCs w:val="28"/>
        </w:rPr>
        <w:t>.</w:t>
      </w:r>
    </w:p>
    <w:p w:rsidR="00EE5947" w:rsidRDefault="00EE5947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47" w:rsidRDefault="00EE5947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47" w:rsidRDefault="00EE5947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069" w:rsidRPr="00EE5947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lastRenderedPageBreak/>
        <w:t>II. Охрана труда и здоровья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В </w:t>
      </w:r>
      <w:r w:rsidR="004D24DC">
        <w:rPr>
          <w:rFonts w:ascii="Times New Roman" w:hAnsi="Times New Roman" w:cs="Times New Roman"/>
          <w:sz w:val="28"/>
          <w:szCs w:val="28"/>
        </w:rPr>
        <w:t>МБОУ СОШ №4 г. Сальска</w:t>
      </w:r>
      <w:r w:rsidR="00DC2C61">
        <w:rPr>
          <w:rFonts w:ascii="Times New Roman" w:hAnsi="Times New Roman" w:cs="Times New Roman"/>
          <w:sz w:val="28"/>
          <w:szCs w:val="28"/>
        </w:rPr>
        <w:t xml:space="preserve"> имени Героя Российской Федерации А.Н. </w:t>
      </w:r>
      <w:proofErr w:type="spellStart"/>
      <w:r w:rsidR="00DC2C61">
        <w:rPr>
          <w:rFonts w:ascii="Times New Roman" w:hAnsi="Times New Roman" w:cs="Times New Roman"/>
          <w:sz w:val="28"/>
          <w:szCs w:val="28"/>
        </w:rPr>
        <w:t>Гойняк</w:t>
      </w:r>
      <w:proofErr w:type="spellEnd"/>
      <w:r w:rsidR="004D24DC">
        <w:rPr>
          <w:rFonts w:ascii="Times New Roman" w:hAnsi="Times New Roman" w:cs="Times New Roman"/>
          <w:sz w:val="28"/>
          <w:szCs w:val="28"/>
        </w:rPr>
        <w:t xml:space="preserve"> на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и оформляются стенды или</w:t>
      </w:r>
      <w:r w:rsidR="00B5278F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</w:p>
    <w:p w:rsidR="00E12069" w:rsidRPr="00E12069" w:rsidRDefault="004D24DC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специальная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</w:t>
      </w:r>
      <w:r w:rsidR="00DC2C61">
        <w:rPr>
          <w:rFonts w:ascii="Times New Roman" w:hAnsi="Times New Roman" w:cs="Times New Roman"/>
          <w:sz w:val="28"/>
          <w:szCs w:val="28"/>
        </w:rPr>
        <w:t xml:space="preserve"> бесплатное лечение.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E5947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2069">
        <w:rPr>
          <w:rFonts w:ascii="Times New Roman" w:hAnsi="Times New Roman" w:cs="Times New Roman"/>
          <w:b/>
          <w:sz w:val="28"/>
          <w:szCs w:val="28"/>
        </w:rPr>
        <w:t>III.Организационно-массовая</w:t>
      </w:r>
      <w:proofErr w:type="spellEnd"/>
      <w:r w:rsidRPr="00E12069">
        <w:rPr>
          <w:rFonts w:ascii="Times New Roman" w:hAnsi="Times New Roman" w:cs="Times New Roman"/>
          <w:b/>
          <w:sz w:val="28"/>
          <w:szCs w:val="28"/>
        </w:rPr>
        <w:t xml:space="preserve"> и информационная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создана </w:t>
      </w:r>
      <w:r w:rsidR="004D24DC">
        <w:rPr>
          <w:rFonts w:ascii="Times New Roman" w:hAnsi="Times New Roman" w:cs="Times New Roman"/>
          <w:sz w:val="28"/>
          <w:szCs w:val="28"/>
        </w:rPr>
        <w:t>1964 году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 стабильно функционирует. На 1 января 20</w:t>
      </w:r>
      <w:r w:rsidR="00DC2C6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года в составе  профсоюзной организации числится </w:t>
      </w:r>
      <w:r w:rsidR="00693DDF">
        <w:rPr>
          <w:rFonts w:ascii="Times New Roman" w:hAnsi="Times New Roman" w:cs="Times New Roman"/>
          <w:sz w:val="28"/>
          <w:szCs w:val="28"/>
        </w:rPr>
        <w:t>53 члена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профсоюза  из </w:t>
      </w:r>
      <w:r w:rsidR="004D24DC">
        <w:rPr>
          <w:rFonts w:ascii="Times New Roman" w:hAnsi="Times New Roman" w:cs="Times New Roman"/>
          <w:sz w:val="28"/>
          <w:szCs w:val="28"/>
        </w:rPr>
        <w:t>74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работающих, что составляет </w:t>
      </w:r>
      <w:r w:rsidR="00693DDF">
        <w:rPr>
          <w:rFonts w:ascii="Times New Roman" w:hAnsi="Times New Roman" w:cs="Times New Roman"/>
          <w:sz w:val="28"/>
          <w:szCs w:val="28"/>
        </w:rPr>
        <w:t>73,6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от общей численности штатных работников. Для оперативного учёта членов профсоюза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постоянно обновляется.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 w:cs="Times New Roman"/>
          <w:sz w:val="28"/>
          <w:szCs w:val="28"/>
        </w:rPr>
        <w:t>окальными актами и положениями.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          Общее число профсоюзного актива - </w:t>
      </w:r>
      <w:r w:rsidR="00693DDF">
        <w:rPr>
          <w:rFonts w:ascii="Times New Roman" w:hAnsi="Times New Roman" w:cs="Times New Roman"/>
          <w:sz w:val="28"/>
          <w:szCs w:val="28"/>
        </w:rPr>
        <w:t>5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человека. В профкоме собраны наиболее активные члены профсоюзной организации  Профактив строит свою работу на основе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 w:cs="Times New Roman"/>
          <w:sz w:val="28"/>
          <w:szCs w:val="28"/>
        </w:rPr>
        <w:t>ся мониторинг исполнения плана.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069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работников, культурно-массовая работ</w:t>
      </w:r>
      <w:r>
        <w:rPr>
          <w:rFonts w:ascii="Times New Roman" w:hAnsi="Times New Roman" w:cs="Times New Roman"/>
          <w:sz w:val="28"/>
          <w:szCs w:val="28"/>
        </w:rPr>
        <w:t>а, материальная помощь и т.д.).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</w:t>
      </w:r>
      <w:proofErr w:type="spellStart"/>
      <w:r w:rsidRPr="00E1206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12069">
        <w:rPr>
          <w:rFonts w:ascii="Times New Roman" w:hAnsi="Times New Roman" w:cs="Times New Roman"/>
          <w:sz w:val="28"/>
          <w:szCs w:val="28"/>
        </w:rPr>
        <w:t xml:space="preserve"> средств, существует электронная связь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693DDF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 w:rsidR="00B5278F">
        <w:rPr>
          <w:rFonts w:ascii="Times New Roman" w:hAnsi="Times New Roman" w:cs="Times New Roman"/>
          <w:sz w:val="28"/>
          <w:szCs w:val="28"/>
        </w:rPr>
        <w:t>ть интересующую нас информацию.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</w:t>
      </w:r>
      <w:r w:rsidR="004D24DC">
        <w:rPr>
          <w:rFonts w:ascii="Times New Roman" w:hAnsi="Times New Roman" w:cs="Times New Roman"/>
          <w:sz w:val="28"/>
          <w:szCs w:val="28"/>
        </w:rPr>
        <w:t>МБОУ СОШ № 4 г. Сальска</w:t>
      </w:r>
      <w:r w:rsidR="00693DDF">
        <w:rPr>
          <w:rFonts w:ascii="Times New Roman" w:hAnsi="Times New Roman" w:cs="Times New Roman"/>
          <w:sz w:val="28"/>
          <w:szCs w:val="28"/>
        </w:rPr>
        <w:t xml:space="preserve"> имени Героя Российской Федерации А.Н. </w:t>
      </w:r>
      <w:proofErr w:type="spellStart"/>
      <w:r w:rsidR="00693DDF">
        <w:rPr>
          <w:rFonts w:ascii="Times New Roman" w:hAnsi="Times New Roman" w:cs="Times New Roman"/>
          <w:sz w:val="28"/>
          <w:szCs w:val="28"/>
        </w:rPr>
        <w:t>Гойняк</w:t>
      </w:r>
      <w:proofErr w:type="spellEnd"/>
      <w:r w:rsidRPr="00E12069">
        <w:rPr>
          <w:rFonts w:ascii="Times New Roman" w:hAnsi="Times New Roman" w:cs="Times New Roman"/>
          <w:sz w:val="28"/>
          <w:szCs w:val="28"/>
        </w:rPr>
        <w:t xml:space="preserve"> представлена на сайте </w:t>
      </w:r>
      <w:r w:rsidR="00693DDF" w:rsidRPr="00693DD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93DDF" w:rsidRPr="00693DD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93DDF" w:rsidRPr="00693DDF">
        <w:rPr>
          <w:rFonts w:ascii="Times New Roman" w:hAnsi="Times New Roman" w:cs="Times New Roman"/>
          <w:sz w:val="28"/>
          <w:szCs w:val="28"/>
          <w:lang w:val="en-US"/>
        </w:rPr>
        <w:t>salsk</w:t>
      </w:r>
      <w:proofErr w:type="spellEnd"/>
      <w:r w:rsidR="00693DDF" w:rsidRPr="00693D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93DDF" w:rsidRPr="00693DDF">
        <w:rPr>
          <w:rFonts w:ascii="Times New Roman" w:hAnsi="Times New Roman" w:cs="Times New Roman"/>
          <w:sz w:val="28"/>
          <w:szCs w:val="28"/>
          <w:lang w:val="en-US"/>
        </w:rPr>
        <w:t>sosh</w:t>
      </w:r>
      <w:proofErr w:type="spellEnd"/>
      <w:r w:rsidR="00693DDF" w:rsidRPr="00693DDF">
        <w:rPr>
          <w:rFonts w:ascii="Times New Roman" w:hAnsi="Times New Roman" w:cs="Times New Roman"/>
          <w:sz w:val="28"/>
          <w:szCs w:val="28"/>
        </w:rPr>
        <w:t>4.</w:t>
      </w:r>
      <w:proofErr w:type="spellStart"/>
      <w:r w:rsidR="00693DDF" w:rsidRPr="00693DDF">
        <w:rPr>
          <w:rFonts w:ascii="Times New Roman" w:hAnsi="Times New Roman" w:cs="Times New Roman"/>
          <w:sz w:val="28"/>
          <w:szCs w:val="28"/>
          <w:lang w:val="en-US"/>
        </w:rPr>
        <w:t>rostovschool</w:t>
      </w:r>
      <w:proofErr w:type="spellEnd"/>
      <w:r w:rsidR="00693DDF" w:rsidRPr="00693DDF">
        <w:rPr>
          <w:rFonts w:ascii="Times New Roman" w:hAnsi="Times New Roman" w:cs="Times New Roman"/>
          <w:sz w:val="28"/>
          <w:szCs w:val="28"/>
        </w:rPr>
        <w:t>.</w:t>
      </w:r>
      <w:r w:rsidR="00693DDF" w:rsidRPr="00693DD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93DDF" w:rsidRPr="00693DDF">
        <w:rPr>
          <w:rFonts w:ascii="Times New Roman" w:hAnsi="Times New Roman" w:cs="Times New Roman"/>
          <w:sz w:val="28"/>
          <w:szCs w:val="28"/>
        </w:rPr>
        <w:t>/</w:t>
      </w:r>
      <w:r w:rsidRPr="00E12069">
        <w:rPr>
          <w:rFonts w:ascii="Times New Roman" w:hAnsi="Times New Roman" w:cs="Times New Roman"/>
          <w:sz w:val="28"/>
          <w:szCs w:val="28"/>
        </w:rPr>
        <w:t xml:space="preserve">, который постоянно обновляется и дополняется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 w:rsidR="00BF5BC5">
        <w:rPr>
          <w:rFonts w:ascii="Times New Roman" w:hAnsi="Times New Roman" w:cs="Times New Roman"/>
          <w:sz w:val="28"/>
          <w:szCs w:val="28"/>
        </w:rPr>
        <w:t>ые отчеты о проделанной работе.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>
        <w:rPr>
          <w:rFonts w:ascii="Times New Roman" w:hAnsi="Times New Roman" w:cs="Times New Roman"/>
          <w:sz w:val="28"/>
          <w:szCs w:val="28"/>
        </w:rPr>
        <w:t xml:space="preserve">енде «МОЙ ПРОФСОЮЗ», </w:t>
      </w:r>
    </w:p>
    <w:p w:rsidR="00E12069" w:rsidRPr="00E12069" w:rsidRDefault="00E12069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года большая работа проводится по привлечению молодых специалистов в профсоюз. Охват профсоюзным членством молодых специалистов составляет </w:t>
      </w:r>
      <w:r w:rsidR="00B651F0" w:rsidRPr="00B651F0">
        <w:rPr>
          <w:rFonts w:ascii="Times New Roman" w:hAnsi="Times New Roman" w:cs="Times New Roman"/>
          <w:sz w:val="28"/>
          <w:szCs w:val="28"/>
        </w:rPr>
        <w:t>100%</w:t>
      </w:r>
      <w:r w:rsidR="00B651F0">
        <w:rPr>
          <w:rFonts w:ascii="Times New Roman" w:hAnsi="Times New Roman" w:cs="Times New Roman"/>
          <w:sz w:val="28"/>
          <w:szCs w:val="28"/>
        </w:rPr>
        <w:t xml:space="preserve">. </w:t>
      </w:r>
      <w:r w:rsidRPr="00E12069">
        <w:rPr>
          <w:rFonts w:ascii="Times New Roman" w:hAnsi="Times New Roman" w:cs="Times New Roman"/>
          <w:sz w:val="28"/>
          <w:szCs w:val="28"/>
        </w:rPr>
        <w:t>Забота о профессиональном и творческом росте педагогов – одно из важнейших направлений деятельности профкома. Молодым специалистам при необходимости оказывается методическая помощь, закрепляются наставники</w:t>
      </w:r>
      <w:r w:rsidR="00BF5BC5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Несмотря на то, что стаж работы молодых педагогов не большой, в качестве стимулирования их чество</w:t>
      </w:r>
      <w:r w:rsidR="00B651F0">
        <w:rPr>
          <w:rFonts w:ascii="Times New Roman" w:hAnsi="Times New Roman" w:cs="Times New Roman"/>
          <w:sz w:val="28"/>
          <w:szCs w:val="28"/>
        </w:rPr>
        <w:t>вали на  педагогическом  совете</w:t>
      </w:r>
      <w:r w:rsidRPr="00E12069">
        <w:rPr>
          <w:rFonts w:ascii="Times New Roman" w:hAnsi="Times New Roman" w:cs="Times New Roman"/>
          <w:sz w:val="28"/>
          <w:szCs w:val="28"/>
        </w:rPr>
        <w:t>, на праздничных мероприятиях в День Учителя.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E5947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>IV. Культурно-массовая и спортивно-оздоровительная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>
        <w:rPr>
          <w:rFonts w:ascii="Times New Roman" w:hAnsi="Times New Roman" w:cs="Times New Roman"/>
          <w:sz w:val="28"/>
          <w:szCs w:val="28"/>
        </w:rPr>
        <w:t>оклимата, сплочению коллектива.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Совместно с администрацией организуются и проводятся в коллективе торжественные собрания, праздничные огоньки праздники ко </w:t>
      </w:r>
      <w:r w:rsidRPr="00B651F0">
        <w:rPr>
          <w:rFonts w:ascii="Times New Roman" w:hAnsi="Times New Roman" w:cs="Times New Roman"/>
          <w:sz w:val="28"/>
          <w:szCs w:val="28"/>
        </w:rPr>
        <w:t>Дню Учителя с приглашением ветеранов педагогического труда, Новый год, День Защитников О</w:t>
      </w:r>
      <w:r w:rsidR="00BF5BC5" w:rsidRPr="00B651F0">
        <w:rPr>
          <w:rFonts w:ascii="Times New Roman" w:hAnsi="Times New Roman" w:cs="Times New Roman"/>
          <w:sz w:val="28"/>
          <w:szCs w:val="28"/>
        </w:rPr>
        <w:t>течества, 8 марта.</w:t>
      </w:r>
    </w:p>
    <w:p w:rsidR="00BF5BC5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</w:t>
      </w:r>
      <w:r w:rsidRPr="00B651F0">
        <w:rPr>
          <w:rFonts w:ascii="Times New Roman" w:hAnsi="Times New Roman" w:cs="Times New Roman"/>
          <w:sz w:val="28"/>
          <w:szCs w:val="28"/>
        </w:rPr>
        <w:t>школа</w:t>
      </w:r>
      <w:r w:rsidR="00B651F0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их всех объединяет.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Ежегодно профсоюзным комитетом организуются новогодние поздравления для   членов профсоюза</w:t>
      </w:r>
      <w:r w:rsidR="00BF5BC5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Доброй традицией стало поздравление </w:t>
      </w:r>
      <w:r w:rsidRPr="00B651F0">
        <w:rPr>
          <w:rFonts w:ascii="Times New Roman" w:hAnsi="Times New Roman" w:cs="Times New Roman"/>
          <w:sz w:val="28"/>
          <w:szCs w:val="28"/>
        </w:rPr>
        <w:t>юбиляров, молодоженов, молодых мам</w:t>
      </w:r>
      <w:r w:rsidRPr="00E12069">
        <w:rPr>
          <w:rFonts w:ascii="Times New Roman" w:hAnsi="Times New Roman" w:cs="Times New Roman"/>
          <w:sz w:val="28"/>
          <w:szCs w:val="28"/>
        </w:rPr>
        <w:t xml:space="preserve"> с вручением памятных подарков. В такие дни для каждого находятся доброе </w:t>
      </w:r>
      <w:r w:rsidR="00BF5BC5">
        <w:rPr>
          <w:rFonts w:ascii="Times New Roman" w:hAnsi="Times New Roman" w:cs="Times New Roman"/>
          <w:sz w:val="28"/>
          <w:szCs w:val="28"/>
        </w:rPr>
        <w:t>слово и материальная поддержка.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Социальная защита –</w:t>
      </w:r>
      <w:r w:rsidR="00693DDF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это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>
        <w:rPr>
          <w:rFonts w:ascii="Times New Roman" w:hAnsi="Times New Roman" w:cs="Times New Roman"/>
          <w:sz w:val="28"/>
          <w:szCs w:val="28"/>
        </w:rPr>
        <w:t>го партнерства на всех уровнях.</w:t>
      </w:r>
    </w:p>
    <w:p w:rsidR="00BF5BC5" w:rsidRDefault="00E12069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Среди приоритетных направлений социальной политики Профсоюза является программа оздоровления работников.   В 20</w:t>
      </w:r>
      <w:r w:rsidR="00693DDF">
        <w:rPr>
          <w:rFonts w:ascii="Times New Roman" w:hAnsi="Times New Roman" w:cs="Times New Roman"/>
          <w:sz w:val="28"/>
          <w:szCs w:val="28"/>
        </w:rPr>
        <w:t>25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 по программе оздоровления членов профсоюза </w:t>
      </w:r>
      <w:r w:rsidR="00B5278F">
        <w:rPr>
          <w:rFonts w:ascii="Times New Roman" w:hAnsi="Times New Roman" w:cs="Times New Roman"/>
          <w:sz w:val="28"/>
          <w:szCs w:val="28"/>
        </w:rPr>
        <w:t>Сальской районной организации</w:t>
      </w:r>
      <w:r w:rsidR="00693DDF">
        <w:rPr>
          <w:rFonts w:ascii="Times New Roman" w:hAnsi="Times New Roman" w:cs="Times New Roman"/>
          <w:sz w:val="28"/>
          <w:szCs w:val="28"/>
        </w:rPr>
        <w:t xml:space="preserve">  четверо</w:t>
      </w:r>
      <w:r w:rsidR="00B651F0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сотрудников получили </w:t>
      </w:r>
      <w:r w:rsidR="00BF5BC5">
        <w:rPr>
          <w:rFonts w:ascii="Times New Roman" w:hAnsi="Times New Roman" w:cs="Times New Roman"/>
          <w:sz w:val="28"/>
          <w:szCs w:val="28"/>
        </w:rPr>
        <w:t>удешевление</w:t>
      </w:r>
      <w:r w:rsidR="00B651F0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>на оздоровлени</w:t>
      </w:r>
      <w:r w:rsidR="00BF5BC5">
        <w:rPr>
          <w:rFonts w:ascii="Times New Roman" w:hAnsi="Times New Roman" w:cs="Times New Roman"/>
          <w:sz w:val="28"/>
          <w:szCs w:val="28"/>
        </w:rPr>
        <w:t>е</w:t>
      </w:r>
      <w:r w:rsidRPr="00E12069">
        <w:rPr>
          <w:rFonts w:ascii="Times New Roman" w:hAnsi="Times New Roman" w:cs="Times New Roman"/>
          <w:sz w:val="28"/>
          <w:szCs w:val="28"/>
        </w:rPr>
        <w:t xml:space="preserve"> в санатории</w:t>
      </w:r>
      <w:r w:rsidR="00BF5BC5">
        <w:rPr>
          <w:rFonts w:ascii="Times New Roman" w:hAnsi="Times New Roman" w:cs="Times New Roman"/>
          <w:sz w:val="28"/>
          <w:szCs w:val="28"/>
        </w:rPr>
        <w:t>.</w:t>
      </w:r>
    </w:p>
    <w:p w:rsidR="00BF5BC5" w:rsidRDefault="00693DDF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2025</w:t>
      </w:r>
      <w:r w:rsidR="00BF5BC5">
        <w:rPr>
          <w:rFonts w:ascii="Times New Roman" w:hAnsi="Times New Roman" w:cs="Times New Roman"/>
          <w:sz w:val="28"/>
          <w:szCs w:val="28"/>
        </w:rPr>
        <w:t xml:space="preserve"> году ч</w:t>
      </w:r>
      <w:r w:rsidR="00B5278F">
        <w:rPr>
          <w:rFonts w:ascii="Times New Roman" w:hAnsi="Times New Roman" w:cs="Times New Roman"/>
          <w:sz w:val="28"/>
          <w:szCs w:val="28"/>
        </w:rPr>
        <w:t>лены Профсоюза воспользовались</w:t>
      </w:r>
      <w:r w:rsidR="00BF5BC5">
        <w:rPr>
          <w:rFonts w:ascii="Times New Roman" w:hAnsi="Times New Roman" w:cs="Times New Roman"/>
          <w:sz w:val="28"/>
          <w:szCs w:val="28"/>
        </w:rPr>
        <w:t xml:space="preserve"> льготными </w:t>
      </w:r>
      <w:r w:rsidR="00B5278F">
        <w:rPr>
          <w:rFonts w:ascii="Times New Roman" w:hAnsi="Times New Roman" w:cs="Times New Roman"/>
          <w:sz w:val="28"/>
          <w:szCs w:val="28"/>
        </w:rPr>
        <w:t xml:space="preserve">билетами: в аквапарк Н2О – </w:t>
      </w:r>
      <w:r>
        <w:rPr>
          <w:rFonts w:ascii="Times New Roman" w:hAnsi="Times New Roman" w:cs="Times New Roman"/>
          <w:sz w:val="28"/>
          <w:szCs w:val="28"/>
        </w:rPr>
        <w:t>2 билета, в ростовский зоопарк – 3 билета,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Султан-СПА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2 билета.</w:t>
      </w:r>
    </w:p>
    <w:p w:rsidR="00BF5BC5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="00693DDF">
        <w:rPr>
          <w:rFonts w:ascii="Times New Roman" w:hAnsi="Times New Roman" w:cs="Times New Roman"/>
          <w:sz w:val="28"/>
          <w:szCs w:val="28"/>
        </w:rPr>
        <w:t xml:space="preserve"> и т.п. В 2025</w:t>
      </w:r>
      <w:r w:rsidR="00BF5BC5">
        <w:rPr>
          <w:rFonts w:ascii="Times New Roman" w:hAnsi="Times New Roman" w:cs="Times New Roman"/>
          <w:sz w:val="28"/>
          <w:szCs w:val="28"/>
        </w:rPr>
        <w:t xml:space="preserve"> году материальную помощь получили </w:t>
      </w:r>
      <w:r w:rsidR="00693DDF">
        <w:rPr>
          <w:rFonts w:ascii="Times New Roman" w:hAnsi="Times New Roman" w:cs="Times New Roman"/>
          <w:sz w:val="28"/>
          <w:szCs w:val="28"/>
        </w:rPr>
        <w:t>10 членов</w:t>
      </w:r>
      <w:r w:rsidR="00BF5BC5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EE5947" w:rsidRPr="00E12069" w:rsidRDefault="00EE5947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E5947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>V. Финансовая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чем </w:t>
      </w:r>
      <w:r w:rsidR="00693DDF">
        <w:rPr>
          <w:rFonts w:ascii="Times New Roman" w:hAnsi="Times New Roman" w:cs="Times New Roman"/>
          <w:sz w:val="28"/>
          <w:szCs w:val="28"/>
        </w:rPr>
        <w:t>работать.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 xml:space="preserve">Расходы производились в соответствии с Положением о материальной помощи и  решениями профкома из денежных средств </w:t>
      </w:r>
      <w:r w:rsidR="00BF5BC5">
        <w:rPr>
          <w:rFonts w:ascii="Times New Roman" w:hAnsi="Times New Roman" w:cs="Times New Roman"/>
          <w:sz w:val="28"/>
          <w:szCs w:val="28"/>
        </w:rPr>
        <w:t>Сальской 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профсоюзной организации).</w:t>
      </w:r>
      <w:proofErr w:type="gramEnd"/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E5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>Общие выводы по работе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>
        <w:rPr>
          <w:rFonts w:ascii="Times New Roman" w:hAnsi="Times New Roman" w:cs="Times New Roman"/>
          <w:sz w:val="28"/>
          <w:szCs w:val="28"/>
        </w:rPr>
        <w:t>олодёжного профсоюзного актива.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 w:rsidR="00693DDF">
        <w:rPr>
          <w:rFonts w:ascii="Times New Roman" w:hAnsi="Times New Roman" w:cs="Times New Roman"/>
          <w:sz w:val="28"/>
          <w:szCs w:val="28"/>
        </w:rPr>
        <w:t>25-26</w:t>
      </w:r>
      <w:r w:rsidR="00BF5BC5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>году: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продолжать работу по привлечению новых членов;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престиж профсоюзного членства;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развивать систему социального партнерства;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создавать благоприятные условия труда;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А также профсоюзная организация ставит перед собой следующие основные задачи на год: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реализовывать новые формы работы с молодыми педагогами;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повышать активность участия сотрудников в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 w:rsidR="00E12069" w:rsidRPr="00E12069">
        <w:rPr>
          <w:rFonts w:ascii="Times New Roman" w:hAnsi="Times New Roman" w:cs="Times New Roman"/>
          <w:sz w:val="28"/>
          <w:szCs w:val="28"/>
        </w:rPr>
        <w:t>-досуговых и спортивных мероприятиях.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1B5" w:rsidRPr="00E12069" w:rsidRDefault="009571B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1B5" w:rsidRPr="00E12069" w:rsidSect="00AA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12069"/>
    <w:rsid w:val="000C1E15"/>
    <w:rsid w:val="00105156"/>
    <w:rsid w:val="004D24DC"/>
    <w:rsid w:val="00693DDF"/>
    <w:rsid w:val="008A5DAD"/>
    <w:rsid w:val="009571B5"/>
    <w:rsid w:val="00AA589B"/>
    <w:rsid w:val="00B5278F"/>
    <w:rsid w:val="00B651F0"/>
    <w:rsid w:val="00BF5BC5"/>
    <w:rsid w:val="00DC2C61"/>
    <w:rsid w:val="00E12069"/>
    <w:rsid w:val="00EE5947"/>
    <w:rsid w:val="00FF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Учитель</cp:lastModifiedBy>
  <cp:revision>7</cp:revision>
  <dcterms:created xsi:type="dcterms:W3CDTF">2022-04-13T05:39:00Z</dcterms:created>
  <dcterms:modified xsi:type="dcterms:W3CDTF">2025-06-18T10:30:00Z</dcterms:modified>
</cp:coreProperties>
</file>